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E" w:rsidRPr="00ED480E" w:rsidRDefault="00ED480E" w:rsidP="00ED480E">
      <w:pPr>
        <w:ind w:left="4536"/>
        <w:jc w:val="center"/>
      </w:pPr>
      <w:r w:rsidRPr="00060EE8">
        <w:rPr>
          <w:bCs/>
        </w:rPr>
        <w:t>Приложение 3</w:t>
      </w:r>
      <w:r w:rsidRPr="00060EE8">
        <w:rPr>
          <w:bCs/>
        </w:rPr>
        <w:br/>
        <w:t xml:space="preserve">к </w:t>
      </w:r>
      <w:hyperlink w:anchor="sub_1000" w:history="1">
        <w:r w:rsidRPr="00060EE8">
          <w:t>муниципальной программе</w:t>
        </w:r>
      </w:hyperlink>
      <w:r w:rsidRPr="00060EE8">
        <w:t xml:space="preserve"> </w:t>
      </w:r>
      <w:r w:rsidRPr="00ED480E">
        <w:t xml:space="preserve">«Профилактика правонарушений </w:t>
      </w:r>
      <w:r w:rsidRPr="00ED480E">
        <w:br/>
        <w:t xml:space="preserve">и противодействие терроризму </w:t>
      </w:r>
      <w:r w:rsidRPr="00ED480E">
        <w:br/>
        <w:t>в Златоустовском городском округе»</w:t>
      </w:r>
    </w:p>
    <w:p w:rsidR="00ED480E" w:rsidRPr="00ED480E" w:rsidRDefault="00ED480E" w:rsidP="00ED480E">
      <w:pPr>
        <w:jc w:val="right"/>
      </w:pPr>
    </w:p>
    <w:p w:rsidR="00ED480E" w:rsidRPr="00ED480E" w:rsidRDefault="00ED480E" w:rsidP="00ED480E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D480E">
        <w:rPr>
          <w:bCs/>
        </w:rPr>
        <w:t>Подпрограмма</w:t>
      </w:r>
      <w:r w:rsidRPr="00ED480E">
        <w:rPr>
          <w:bCs/>
        </w:rPr>
        <w:br/>
        <w:t>«Комплексные меры по профилактике безнадзорности и противодействию злоупотреблению наркотиками и их незаконному обороту»</w:t>
      </w:r>
    </w:p>
    <w:p w:rsidR="00ED480E" w:rsidRPr="00ED480E" w:rsidRDefault="00ED480E" w:rsidP="00ED480E">
      <w:pPr>
        <w:tabs>
          <w:tab w:val="left" w:pos="4335"/>
        </w:tabs>
        <w:suppressAutoHyphens/>
        <w:autoSpaceDE w:val="0"/>
        <w:autoSpaceDN w:val="0"/>
        <w:adjustRightInd w:val="0"/>
        <w:ind w:left="567"/>
        <w:contextualSpacing/>
        <w:jc w:val="both"/>
      </w:pPr>
    </w:p>
    <w:p w:rsidR="00ED480E" w:rsidRPr="00ED480E" w:rsidRDefault="00ED480E" w:rsidP="00ED480E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D480E">
        <w:rPr>
          <w:bCs/>
        </w:rPr>
        <w:t>Паспорт подпрограммы</w:t>
      </w:r>
      <w:r w:rsidRPr="00ED480E">
        <w:rPr>
          <w:bCs/>
        </w:rPr>
        <w:br/>
        <w:t xml:space="preserve">«Комплексные меры по профилактике безнадзорности и противодействию злоупотреблению наркотиками и их незаконному обороту» </w:t>
      </w:r>
    </w:p>
    <w:p w:rsidR="00ED480E" w:rsidRPr="00ED480E" w:rsidRDefault="00ED480E" w:rsidP="00ED480E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D480E">
        <w:rPr>
          <w:bCs/>
        </w:rPr>
        <w:t>(далее – подпрограмма)</w:t>
      </w:r>
    </w:p>
    <w:p w:rsidR="00ED480E" w:rsidRPr="00ED480E" w:rsidRDefault="00ED480E" w:rsidP="00ED480E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79"/>
      </w:tblGrid>
      <w:tr w:rsidR="00060EE8" w:rsidRPr="00ED480E" w:rsidTr="00ED480E">
        <w:trPr>
          <w:trHeight w:val="103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Ответственный исполнитель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Администрация Златоустовского городского округа </w:t>
            </w:r>
            <w:r w:rsidRPr="00ED480E">
              <w:br/>
              <w:t>(далее – администрация ЗГО)</w:t>
            </w:r>
          </w:p>
        </w:tc>
      </w:tr>
      <w:tr w:rsidR="00060EE8" w:rsidRPr="00ED480E" w:rsidTr="00ED480E">
        <w:trPr>
          <w:trHeight w:val="3261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Соисполнители муниципальной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- Муниципальное казённое учреждение Управление образования и молодежной политики Златоустовского городского округа (далее – МКУ </w:t>
            </w:r>
            <w:proofErr w:type="spellStart"/>
            <w:r w:rsidRPr="00ED480E">
              <w:t>УОиМП</w:t>
            </w:r>
            <w:proofErr w:type="spellEnd"/>
            <w:r w:rsidRPr="00ED480E">
              <w:t xml:space="preserve"> ЗГО),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- Муниципальное казённое учреждение Управление культуры Златоустовского городского округа </w:t>
            </w:r>
            <w:r w:rsidRPr="00060EE8">
              <w:br/>
            </w:r>
            <w:r w:rsidRPr="00ED480E">
              <w:t>(далее – МКУ УК ЗГО),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- Муниципальное казённое учреждение Управление </w:t>
            </w:r>
            <w:r w:rsidRPr="00ED480E">
              <w:br/>
              <w:t xml:space="preserve">по физической культуре и спорту Златоустовского городского округа (далее – МКУ </w:t>
            </w:r>
            <w:proofErr w:type="spellStart"/>
            <w:r w:rsidRPr="00ED480E">
              <w:t>УФКиС</w:t>
            </w:r>
            <w:proofErr w:type="spellEnd"/>
            <w:r w:rsidRPr="00ED480E">
              <w:t xml:space="preserve"> ЗГО)</w:t>
            </w:r>
            <w:r w:rsidRPr="00060EE8">
              <w:t>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- Управление социальной защиты населения Златоустовского городского округа (далее – УСЗН ЗГО)</w:t>
            </w:r>
            <w:r w:rsidRPr="00060EE8">
              <w:t>.</w:t>
            </w:r>
          </w:p>
        </w:tc>
      </w:tr>
      <w:tr w:rsidR="00060EE8" w:rsidRPr="00ED480E" w:rsidTr="00ED480E">
        <w:trPr>
          <w:trHeight w:val="196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sub_1108"/>
            <w:r w:rsidRPr="00ED480E">
              <w:t>Цели подпрограммы</w:t>
            </w:r>
            <w:bookmarkEnd w:id="0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contextualSpacing/>
              <w:jc w:val="both"/>
            </w:pPr>
            <w:r w:rsidRPr="00ED480E">
              <w:t xml:space="preserve">1. Формирование условий для решения проблем несовершеннолетних, профилактики безнадзорности </w:t>
            </w:r>
            <w:r w:rsidRPr="00ED480E">
              <w:br/>
              <w:t>и правонарушений.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2. Создание условий для сокращения распространения наркомании и связанных с ней правонарушений  до уровня минимальной опасности для общества.</w:t>
            </w:r>
          </w:p>
        </w:tc>
      </w:tr>
      <w:tr w:rsidR="00060EE8" w:rsidRPr="00ED480E" w:rsidTr="00ED480E">
        <w:trPr>
          <w:trHeight w:val="1125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sub_1109"/>
            <w:r w:rsidRPr="00ED480E">
              <w:t>Задачи подпрограммы</w:t>
            </w:r>
            <w:bookmarkEnd w:id="1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 w:rsidRPr="00ED480E">
              <w:t>Реализация комплексных мероприятий по профилактике безнадзорности, правонарушений и наркомании среди подростков и молодежи</w:t>
            </w:r>
          </w:p>
        </w:tc>
      </w:tr>
      <w:tr w:rsidR="00060EE8" w:rsidRPr="00ED480E" w:rsidTr="00ED480E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2" w:name="sub_1110"/>
            <w:r w:rsidRPr="00ED480E">
              <w:t>Целевые индикаторы и показатели подпрограммы</w:t>
            </w:r>
            <w:bookmarkEnd w:id="2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1. Количество мероприятий по профилактике наркомании среди подростков и молодежи, ед.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2. Доля подростков и молодежи (14-35 лет), вовлеченных </w:t>
            </w:r>
            <w:r w:rsidRPr="00ED480E">
              <w:br/>
              <w:t>в профилактические антинаркотические мероприятия, %.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3. Количество проведенных заседаний Комиссии по делам несовершеннолетних, ед.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lastRenderedPageBreak/>
              <w:t>4. Количество рассмотренных административных материалов Комиссией по делам несовершеннолетних, ед.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 xml:space="preserve">5. Доля несовершеннолетних, состоящих </w:t>
            </w:r>
            <w:r w:rsidRPr="00ED480E">
              <w:rPr>
                <w:lang w:eastAsia="en-US"/>
              </w:rPr>
              <w:br/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</w:t>
            </w:r>
            <w:r w:rsidRPr="00ED480E">
              <w:rPr>
                <w:lang w:eastAsia="en-US"/>
              </w:rPr>
              <w:br/>
              <w:t xml:space="preserve">и дополнительного образования, имеющих в соответствии </w:t>
            </w:r>
            <w:r w:rsidRPr="00ED480E">
              <w:rPr>
                <w:lang w:eastAsia="en-US"/>
              </w:rPr>
              <w:br/>
              <w:t xml:space="preserve">с требованиями к антитеррористической защищенности </w:t>
            </w:r>
            <w:r w:rsidRPr="00ED480E">
              <w:rPr>
                <w:lang w:eastAsia="en-US"/>
              </w:rPr>
              <w:br/>
              <w:t>1, 2 категории опасности, обеспеченных квалифицированной охраной, %.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>7.</w:t>
            </w:r>
            <w:r w:rsidRPr="00060EE8">
              <w:rPr>
                <w:lang w:eastAsia="en-US"/>
              </w:rPr>
              <w:t> </w:t>
            </w:r>
            <w:r w:rsidRPr="00ED480E">
              <w:rPr>
                <w:lang w:eastAsia="en-US"/>
              </w:rPr>
              <w:t xml:space="preserve">Доля прошедших </w:t>
            </w:r>
            <w:proofErr w:type="gramStart"/>
            <w:r w:rsidRPr="00ED480E">
              <w:rPr>
                <w:lang w:eastAsia="en-US"/>
              </w:rPr>
              <w:t>обучение по профилактике</w:t>
            </w:r>
            <w:proofErr w:type="gramEnd"/>
            <w:r w:rsidRPr="00ED480E">
              <w:rPr>
                <w:lang w:eastAsia="en-US"/>
              </w:rPr>
              <w:t xml:space="preserve"> безнадзорности и противодействию злоупотреблению наркотиками и их незаконному обороту, %.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>8.</w:t>
            </w:r>
            <w:r w:rsidRPr="00060EE8">
              <w:rPr>
                <w:lang w:eastAsia="en-US"/>
              </w:rPr>
              <w:t> </w:t>
            </w:r>
            <w:r w:rsidRPr="00ED480E">
              <w:rPr>
                <w:lang w:eastAsia="en-US"/>
              </w:rPr>
              <w:t xml:space="preserve">Количество проведенных мероприятий связанных </w:t>
            </w:r>
            <w:r w:rsidRPr="00060EE8">
              <w:rPr>
                <w:lang w:eastAsia="en-US"/>
              </w:rPr>
              <w:br/>
            </w:r>
            <w:r w:rsidRPr="00ED480E">
              <w:rPr>
                <w:lang w:eastAsia="en-US"/>
              </w:rPr>
              <w:t>с профилактикой правонарушений, беспризорности, безнадзорности, для подростков и молодежи, ед.</w:t>
            </w:r>
          </w:p>
        </w:tc>
      </w:tr>
      <w:tr w:rsidR="00060EE8" w:rsidRPr="00ED480E" w:rsidTr="00ED480E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</w:pPr>
            <w:bookmarkStart w:id="3" w:name="sub_1094"/>
            <w:r w:rsidRPr="00ED480E">
              <w:lastRenderedPageBreak/>
              <w:t>Этапы и сроки реализации подпрограммы</w:t>
            </w:r>
            <w:bookmarkEnd w:id="3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2023-2027 годы</w:t>
            </w:r>
          </w:p>
        </w:tc>
      </w:tr>
      <w:tr w:rsidR="00060EE8" w:rsidRPr="00ED480E" w:rsidTr="00060EE8">
        <w:trPr>
          <w:trHeight w:val="557"/>
          <w:jc w:val="center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</w:pPr>
            <w:r w:rsidRPr="00ED480E">
              <w:t>Объемы финансовых ресурсов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Общий объем финансирования подпрограммы – 52 853,09132 тыс. рублей: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 год – 13 474,7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2024 год – 11 740,09132тыс. рублей;</w:t>
            </w:r>
          </w:p>
          <w:p w:rsidR="00ED480E" w:rsidRPr="00ED480E" w:rsidRDefault="00ED480E" w:rsidP="00ED480E">
            <w:pPr>
              <w:jc w:val="both"/>
            </w:pPr>
            <w:r w:rsidRPr="00ED480E">
              <w:t>2025 год – 9 359,9 тыс. рублей.</w:t>
            </w:r>
          </w:p>
          <w:p w:rsidR="00ED480E" w:rsidRPr="00ED480E" w:rsidRDefault="00ED480E" w:rsidP="00ED480E">
            <w:pPr>
              <w:jc w:val="both"/>
            </w:pPr>
            <w:r w:rsidRPr="00ED480E">
              <w:t>2026 год – 9 139,2 тыс. рублей;</w:t>
            </w:r>
          </w:p>
          <w:p w:rsidR="00ED480E" w:rsidRPr="00ED480E" w:rsidRDefault="00ED480E" w:rsidP="00ED480E">
            <w:pPr>
              <w:jc w:val="both"/>
            </w:pPr>
            <w:r w:rsidRPr="00ED480E">
              <w:t>2027 год – 9 139,2 тыс. рублей.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В том числе: за счет средств бюджета Златоустовского городского округа – 1 266,31962 тыс. рублей: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 год – 969,1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2024 год – 16,51962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2025 год – 240,7 тыс. рублей;</w:t>
            </w:r>
          </w:p>
          <w:p w:rsidR="00ED480E" w:rsidRPr="00ED480E" w:rsidRDefault="00ED480E" w:rsidP="00ED480E">
            <w:pPr>
              <w:jc w:val="both"/>
            </w:pPr>
            <w:r w:rsidRPr="00ED480E">
              <w:t>2026 год – 20,0 тыс. рублей;</w:t>
            </w:r>
          </w:p>
          <w:p w:rsidR="00ED480E" w:rsidRPr="00ED480E" w:rsidRDefault="00ED480E" w:rsidP="00ED480E">
            <w:pPr>
              <w:jc w:val="both"/>
            </w:pPr>
            <w:r w:rsidRPr="00ED480E">
              <w:t>2027 год – 20,0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за счет средств бюджета Челябинской области –</w:t>
            </w:r>
            <w:r w:rsidR="00060EE8" w:rsidRPr="00060EE8">
              <w:br/>
            </w:r>
            <w:r w:rsidRPr="00ED480E">
              <w:t>51 586,7717тыс. рублей: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 год – 12 505,6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2024 год – 11 723,5717тыс.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2025 год – 9 119,2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2026 год – 9 119,2 тыс. рублей;</w:t>
            </w:r>
          </w:p>
          <w:p w:rsidR="00ED480E" w:rsidRPr="00ED480E" w:rsidRDefault="00ED480E" w:rsidP="00ED480E">
            <w:pPr>
              <w:spacing w:after="200" w:line="276" w:lineRule="auto"/>
            </w:pPr>
            <w:r w:rsidRPr="00ED480E">
              <w:lastRenderedPageBreak/>
              <w:t>2027 год –9 119,2 тыс. рублей</w:t>
            </w:r>
          </w:p>
        </w:tc>
      </w:tr>
      <w:tr w:rsidR="00060EE8" w:rsidRPr="00ED480E" w:rsidTr="00ED480E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</w:pPr>
            <w:bookmarkStart w:id="4" w:name="sub_1124"/>
            <w:r w:rsidRPr="00ED480E">
              <w:lastRenderedPageBreak/>
              <w:t>Ожидаемые</w:t>
            </w:r>
            <w:bookmarkEnd w:id="4"/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</w:pPr>
            <w:r w:rsidRPr="00ED480E">
              <w:t>результаты реализации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jc w:val="both"/>
              <w:rPr>
                <w:highlight w:val="yellow"/>
              </w:rPr>
            </w:pPr>
            <w:r w:rsidRPr="00ED480E">
              <w:t xml:space="preserve">Вовлечение до 100% подростков и молодежи </w:t>
            </w:r>
            <w:r w:rsidRPr="00ED480E">
              <w:br/>
              <w:t>в мероприятия, направленные на профилактику безнадзорности и наркомании с целью снижения количества правонарушений</w:t>
            </w:r>
          </w:p>
        </w:tc>
      </w:tr>
    </w:tbl>
    <w:p w:rsidR="00ED480E" w:rsidRPr="00ED480E" w:rsidRDefault="00ED480E" w:rsidP="00ED480E">
      <w:pPr>
        <w:ind w:firstLine="709"/>
        <w:jc w:val="both"/>
        <w:rPr>
          <w:sz w:val="26"/>
          <w:szCs w:val="26"/>
        </w:rPr>
      </w:pPr>
    </w:p>
    <w:p w:rsidR="00ED480E" w:rsidRPr="00ED480E" w:rsidRDefault="00ED480E" w:rsidP="00ED480E">
      <w:pPr>
        <w:ind w:firstLine="709"/>
        <w:jc w:val="center"/>
      </w:pPr>
      <w:r w:rsidRPr="00ED480E">
        <w:t>Раздел I. Характеристика реализации подпрограммы, описание основных проблем в сфере профилактики безнадзорности и противодействия злоупотреблению наркотическими средствами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 xml:space="preserve">1. Проблемы беспризорности и безнадзорности несовершеннолетних </w:t>
      </w:r>
      <w:r w:rsidRPr="00ED480E">
        <w:br/>
        <w:t xml:space="preserve"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Семейное неблагополучие, алкоголизм </w:t>
      </w:r>
      <w:r w:rsidRPr="00ED480E">
        <w:br/>
        <w:t xml:space="preserve">и наркомания, социальное сиротство, невыполнение родителями обязанностей по воспитанию детей, жестокое обращение с детьми, бродяжничество </w:t>
      </w:r>
      <w:r w:rsidRPr="00ED480E">
        <w:br/>
        <w:t xml:space="preserve">и </w:t>
      </w:r>
      <w:proofErr w:type="gramStart"/>
      <w:r w:rsidRPr="00ED480E">
        <w:t>попрошайничество</w:t>
      </w:r>
      <w:proofErr w:type="gramEnd"/>
      <w:r w:rsidRPr="00ED480E">
        <w:t xml:space="preserve">, вовлечение подростков в преступную деятельность </w:t>
      </w:r>
      <w:r w:rsidRPr="00ED480E">
        <w:br/>
        <w:t xml:space="preserve">со стороны взрослых лиц являются причинами формирования противоправного поведения у подростков. Наркотики становятся все более доступными, </w:t>
      </w:r>
      <w:r w:rsidRPr="00ED480E">
        <w:br/>
        <w:t xml:space="preserve">на российском рынке,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2. Необходимы действенные шаги по совершенствованию системы профилактики безнадзорности и правонарушений несовершеннолетних, </w:t>
      </w:r>
      <w:r w:rsidR="0069521D">
        <w:br/>
      </w:r>
      <w:r w:rsidRPr="00ED480E">
        <w:t xml:space="preserve">в том числе по раннему выявлению семейного неблагополучия </w:t>
      </w:r>
      <w:r w:rsidR="0069521D">
        <w:br/>
      </w:r>
      <w:r w:rsidRPr="00ED480E">
        <w:t xml:space="preserve">и формированию неравнодушного отношения общества к данным проблемам. Особого внимания требуют вопросы усиления ответственности родителей </w:t>
      </w:r>
      <w:r w:rsidR="0069521D">
        <w:br/>
      </w:r>
      <w:r w:rsidRPr="00ED480E">
        <w:t xml:space="preserve">за воспитание и обучение их несовершеннолетних детей, совершенствования подходов в области защиты прав несовершеннолетних, использования современных технологий работы с семьей. 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Комплексное решение проблем профилактики безнадзорности </w:t>
      </w:r>
      <w:r w:rsidRPr="00ED480E">
        <w:br/>
        <w:t xml:space="preserve">и правонарушений среди несовершеннолетних, борьба с наркоманией, </w:t>
      </w:r>
      <w:r w:rsidRPr="00ED480E">
        <w:br/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3. Подпрограмма позволит более эффективно противодействовать употреблению наркотических средств и психотропных веществ, </w:t>
      </w:r>
      <w:r w:rsidR="0069521D">
        <w:br/>
      </w:r>
      <w:r w:rsidRPr="00ED480E">
        <w:t xml:space="preserve">а также позволит решать задачи по профилактике безнадзорности </w:t>
      </w:r>
      <w:r w:rsidR="0069521D">
        <w:br/>
      </w:r>
      <w:r w:rsidRPr="00ED480E">
        <w:t>и правонарушений среди несовершеннолетних.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center"/>
      </w:pPr>
      <w:r w:rsidRPr="00ED480E">
        <w:t xml:space="preserve">Раздел II. Приоритеты муниципальной политики в сфере профилактики противодействию злоупотреблению наркотическими средствами, цели, задачи и целевые индикаторы достижения целей и решения задач, описание </w:t>
      </w:r>
      <w:r w:rsidRPr="00ED480E">
        <w:lastRenderedPageBreak/>
        <w:t xml:space="preserve">ожидаемых результатов подпрограммы, сроков и контрольных этапов реализации подпрограммы </w:t>
      </w:r>
    </w:p>
    <w:p w:rsidR="00ED480E" w:rsidRPr="00ED480E" w:rsidRDefault="00ED480E" w:rsidP="00ED480E">
      <w:pPr>
        <w:ind w:firstLine="709"/>
        <w:jc w:val="center"/>
      </w:pPr>
    </w:p>
    <w:p w:rsidR="00ED480E" w:rsidRPr="00ED480E" w:rsidRDefault="00ED480E" w:rsidP="00ED480E">
      <w:pPr>
        <w:ind w:firstLine="709"/>
        <w:jc w:val="both"/>
      </w:pPr>
      <w:r w:rsidRPr="00ED480E">
        <w:t>4. Приоритетными направлениями и основными целями подпрограммы являются:</w:t>
      </w:r>
    </w:p>
    <w:p w:rsidR="00ED480E" w:rsidRPr="00ED480E" w:rsidRDefault="00ED480E" w:rsidP="00ED480E">
      <w:pPr>
        <w:ind w:firstLine="709"/>
        <w:jc w:val="both"/>
      </w:pPr>
      <w:r w:rsidRPr="00ED480E">
        <w:t>1) Формирование условий для решения проблем несовершеннолетних, профилактики безнадзорности и правонарушений.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2) Создание условий для сокращения распространения наркомании </w:t>
      </w:r>
      <w:r w:rsidRPr="00ED480E">
        <w:br/>
        <w:t xml:space="preserve">и связанных с ней правонарушений до уровня минимальной опасности </w:t>
      </w:r>
      <w:r w:rsidRPr="00ED480E">
        <w:br/>
        <w:t>для общества.</w:t>
      </w:r>
    </w:p>
    <w:p w:rsidR="00ED480E" w:rsidRPr="00ED480E" w:rsidRDefault="00ED480E" w:rsidP="00ED480E">
      <w:pPr>
        <w:ind w:firstLine="709"/>
        <w:jc w:val="both"/>
      </w:pPr>
      <w:r w:rsidRPr="00ED480E">
        <w:t>5. Подпрограмма предусматривает решение следующей задачи:</w:t>
      </w:r>
    </w:p>
    <w:p w:rsidR="00ED480E" w:rsidRPr="00ED480E" w:rsidRDefault="00ED480E" w:rsidP="00ED480E">
      <w:pPr>
        <w:ind w:firstLine="709"/>
        <w:jc w:val="both"/>
      </w:pPr>
      <w:r w:rsidRPr="00ED480E"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ED480E" w:rsidRPr="00ED480E" w:rsidRDefault="00ED480E" w:rsidP="00ED480E">
      <w:pPr>
        <w:ind w:firstLine="709"/>
        <w:jc w:val="both"/>
      </w:pPr>
      <w:r w:rsidRPr="00ED480E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ED480E" w:rsidRPr="00ED480E" w:rsidRDefault="00ED480E" w:rsidP="00ED480E">
      <w:pPr>
        <w:ind w:firstLine="709"/>
        <w:jc w:val="both"/>
      </w:pPr>
      <w:r w:rsidRPr="00ED480E">
        <w:t>7. Ожидаемый конечный результат подпрограммы: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1) Вовлечение подростков и молодежи в мероприятия, направленные </w:t>
      </w:r>
      <w:r w:rsidRPr="00ED480E">
        <w:br/>
        <w:t>на профилактику безнадзорности и   наркомании с целью снижения количества правонарушений.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center"/>
      </w:pPr>
      <w:r w:rsidRPr="00ED480E">
        <w:t>Раздел III. Характеристика мероприятий подпрограммы</w:t>
      </w:r>
    </w:p>
    <w:p w:rsidR="00ED480E" w:rsidRPr="00ED480E" w:rsidRDefault="00ED480E" w:rsidP="00ED480E">
      <w:pPr>
        <w:ind w:firstLine="709"/>
        <w:jc w:val="center"/>
      </w:pPr>
    </w:p>
    <w:p w:rsidR="00ED480E" w:rsidRPr="00ED480E" w:rsidRDefault="00ED480E" w:rsidP="00ED480E">
      <w:pPr>
        <w:ind w:firstLine="709"/>
        <w:jc w:val="both"/>
      </w:pPr>
      <w:r w:rsidRPr="00ED480E">
        <w:t>8. Перечень мероприятий подпрограммы и ожидаемых результатов представлен в таблице 2 приложения 2 к подпрограмме.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573C5F">
      <w:pPr>
        <w:ind w:firstLine="709"/>
        <w:jc w:val="center"/>
      </w:pPr>
      <w:r w:rsidRPr="00ED480E">
        <w:t xml:space="preserve">Раздел IV. Информация об участии предприятий и организаций, независимо от их организационно-правовой формы собственности, </w:t>
      </w:r>
      <w:r w:rsidR="00573C5F">
        <w:br/>
      </w:r>
      <w:r w:rsidRPr="00ED480E">
        <w:t>а также внебюджетных фондов, в реализации подпрограммы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>9. 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- Отдел Министерства внутренних дел Российской Федерации </w:t>
      </w:r>
      <w:r w:rsidRPr="00ED480E">
        <w:br/>
        <w:t>по Златоустовскому городскому округу;</w:t>
      </w:r>
    </w:p>
    <w:p w:rsidR="00ED480E" w:rsidRPr="00ED480E" w:rsidRDefault="00ED480E" w:rsidP="00ED480E">
      <w:pPr>
        <w:ind w:firstLine="709"/>
        <w:jc w:val="both"/>
      </w:pPr>
      <w:r w:rsidRPr="00ED480E">
        <w:t>- Линейный отдел полиции на станции Златоуст;</w:t>
      </w:r>
    </w:p>
    <w:p w:rsidR="00ED480E" w:rsidRPr="00ED480E" w:rsidRDefault="00ED480E" w:rsidP="00ED480E">
      <w:pPr>
        <w:ind w:firstLine="709"/>
        <w:jc w:val="both"/>
      </w:pPr>
      <w:r w:rsidRPr="00ED480E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области;</w:t>
      </w:r>
    </w:p>
    <w:p w:rsidR="00ED480E" w:rsidRPr="00ED480E" w:rsidRDefault="00ED480E" w:rsidP="00ED480E">
      <w:pPr>
        <w:ind w:firstLine="709"/>
        <w:jc w:val="both"/>
      </w:pPr>
      <w:r w:rsidRPr="00ED480E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jc w:val="center"/>
      </w:pPr>
      <w:r w:rsidRPr="00ED480E">
        <w:t xml:space="preserve">Раздел V. Обоснование объёма финансовых ресурсов, необходимых </w:t>
      </w:r>
      <w:r w:rsidRPr="00ED480E">
        <w:br/>
        <w:t>для реализации подпрограммы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 xml:space="preserve">10. Общий объем финансирования подпрограммы – </w:t>
      </w:r>
      <w:r w:rsidR="00573C5F">
        <w:br/>
      </w:r>
      <w:r w:rsidRPr="00ED480E">
        <w:t>52 853,09132 тыс. рублей:</w:t>
      </w:r>
    </w:p>
    <w:p w:rsidR="00ED480E" w:rsidRPr="00ED480E" w:rsidRDefault="00ED480E" w:rsidP="00ED480E">
      <w:pPr>
        <w:ind w:firstLine="709"/>
        <w:jc w:val="both"/>
      </w:pPr>
      <w:r w:rsidRPr="00ED480E">
        <w:t>2023 год – 13 474,7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2024 год – 11 740,09132тыс.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2025 год – 9 359,9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2026 год – 9 139,2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2027 год –9 139,2 тыс. рублей.</w:t>
      </w:r>
    </w:p>
    <w:p w:rsidR="00ED480E" w:rsidRPr="00ED480E" w:rsidRDefault="00ED480E" w:rsidP="00573C5F">
      <w:pPr>
        <w:ind w:firstLine="708"/>
        <w:jc w:val="both"/>
      </w:pPr>
      <w:r w:rsidRPr="00ED480E">
        <w:t>В том числе: за счет средств бюджета Златоустовского городского округа – 1 266,31962 тыс. рублей:</w:t>
      </w:r>
    </w:p>
    <w:p w:rsidR="00ED480E" w:rsidRPr="00ED480E" w:rsidRDefault="00ED480E" w:rsidP="00ED480E">
      <w:pPr>
        <w:ind w:firstLine="709"/>
        <w:jc w:val="both"/>
      </w:pPr>
      <w:r w:rsidRPr="00ED480E">
        <w:t>2023 год – 969,1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2024 год – 16,51962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2025 год – 240,7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2026 год – 20,0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2027 год –20,0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за счет средств бюджета Челябинской области – 51 586,7717 тыс. рублей:</w:t>
      </w:r>
    </w:p>
    <w:p w:rsidR="00ED480E" w:rsidRPr="00ED480E" w:rsidRDefault="00ED480E" w:rsidP="00ED480E">
      <w:pPr>
        <w:ind w:firstLine="709"/>
        <w:jc w:val="both"/>
      </w:pPr>
      <w:r w:rsidRPr="00ED480E">
        <w:t>2023 год – 12 505,6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2024 год – 11 723,5717тыс.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2025 год – 9 119,2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2026 год – 9 119,2 тыс. рублей;</w:t>
      </w:r>
    </w:p>
    <w:p w:rsidR="00ED480E" w:rsidRPr="00ED480E" w:rsidRDefault="00ED480E" w:rsidP="00ED480E">
      <w:pPr>
        <w:ind w:firstLine="709"/>
        <w:jc w:val="both"/>
      </w:pPr>
      <w:r w:rsidRPr="00ED480E">
        <w:t>2027 год –9 119,2 тыс. рублей.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jc w:val="center"/>
      </w:pPr>
      <w:r w:rsidRPr="00ED480E">
        <w:t>Раздел VI. Анализ рисков реализации подпрограммы и описание мер управления рисками реализации подпрограммы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>11. Риски реализации подпрограммы можно разделить на две группы:</w:t>
      </w:r>
    </w:p>
    <w:p w:rsidR="00ED480E" w:rsidRPr="00ED480E" w:rsidRDefault="00ED480E" w:rsidP="00ED480E">
      <w:pPr>
        <w:ind w:firstLine="709"/>
        <w:jc w:val="both"/>
      </w:pPr>
      <w:r w:rsidRPr="00ED480E">
        <w:t>1) внутренние - относятся к сфере компетенции ответственного исполнителя и соисполнителей подпрограммы;</w:t>
      </w:r>
    </w:p>
    <w:p w:rsidR="00ED480E" w:rsidRPr="00ED480E" w:rsidRDefault="00ED480E" w:rsidP="00ED480E">
      <w:pPr>
        <w:ind w:firstLine="709"/>
        <w:jc w:val="both"/>
      </w:pPr>
      <w:proofErr w:type="gramStart"/>
      <w:r w:rsidRPr="00ED480E">
        <w:t xml:space="preserve">2) внешние, наступление или не наступление которых не зависит </w:t>
      </w:r>
      <w:r w:rsidRPr="00ED480E">
        <w:br/>
        <w:t>от действий ответственного исполнителя подпрограммы.</w:t>
      </w:r>
      <w:proofErr w:type="gramEnd"/>
    </w:p>
    <w:p w:rsidR="00ED480E" w:rsidRPr="00ED480E" w:rsidRDefault="00ED480E" w:rsidP="00ED480E">
      <w:pPr>
        <w:ind w:firstLine="709"/>
        <w:jc w:val="both"/>
      </w:pPr>
      <w:r w:rsidRPr="00ED480E">
        <w:t>Внутренние риски могут являться следствием: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ED480E">
        <w:br/>
        <w:t>за выполнение мероприятий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3) недостаточной оперативности при наступлении внешних рисков реализации подпрограммы.</w:t>
      </w:r>
    </w:p>
    <w:p w:rsidR="00ED480E" w:rsidRPr="00ED480E" w:rsidRDefault="00ED480E" w:rsidP="00ED480E">
      <w:pPr>
        <w:ind w:firstLine="709"/>
        <w:jc w:val="both"/>
      </w:pPr>
      <w:r w:rsidRPr="00ED480E">
        <w:t>Мерами управления и анализа внутренними рисками являются:</w:t>
      </w:r>
    </w:p>
    <w:p w:rsidR="00ED480E" w:rsidRPr="00ED480E" w:rsidRDefault="00ED480E" w:rsidP="00ED480E">
      <w:pPr>
        <w:ind w:firstLine="709"/>
        <w:jc w:val="both"/>
      </w:pPr>
      <w:r w:rsidRPr="00ED480E">
        <w:t>1) детальное планирование хода реализации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3) своевременная актуализация ежегодных мероприятий подпрограммы, </w:t>
      </w:r>
      <w:r w:rsidRPr="00ED480E">
        <w:br/>
        <w:t xml:space="preserve">в том числе корректировка состава и сроков исполнения мероприятий </w:t>
      </w:r>
      <w:r w:rsidRPr="00ED480E">
        <w:br/>
        <w:t>с сохранением ожидаемых результатов.</w:t>
      </w:r>
    </w:p>
    <w:p w:rsidR="00ED480E" w:rsidRPr="00ED480E" w:rsidRDefault="00ED480E" w:rsidP="00ED480E">
      <w:pPr>
        <w:ind w:firstLine="709"/>
        <w:jc w:val="both"/>
      </w:pPr>
      <w:r w:rsidRPr="00ED480E">
        <w:lastRenderedPageBreak/>
        <w:t xml:space="preserve">К внешним рискам относятся макроэкономические риски, связанные </w:t>
      </w:r>
      <w:r w:rsidRPr="00ED480E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ED480E" w:rsidRPr="00ED480E" w:rsidRDefault="00ED480E" w:rsidP="00ED480E">
      <w:pPr>
        <w:ind w:firstLine="709"/>
        <w:jc w:val="both"/>
      </w:pPr>
      <w:r w:rsidRPr="00ED480E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ED480E" w:rsidRPr="00ED480E" w:rsidRDefault="00ED480E" w:rsidP="00ED480E">
      <w:pPr>
        <w:ind w:firstLine="709"/>
        <w:jc w:val="both"/>
      </w:pPr>
      <w:r w:rsidRPr="00ED480E">
        <w:t>Анализ и управление риском реализации подпрограммы обеспечивает:</w:t>
      </w:r>
    </w:p>
    <w:p w:rsidR="00ED480E" w:rsidRPr="00ED480E" w:rsidRDefault="00ED480E" w:rsidP="00ED480E">
      <w:pPr>
        <w:ind w:firstLine="709"/>
        <w:jc w:val="both"/>
      </w:pPr>
      <w:r w:rsidRPr="00ED480E">
        <w:t>1) условия, в результате которых можно реализовать мероприятия, предусмотренные подпрограммой на данный период;</w:t>
      </w:r>
    </w:p>
    <w:p w:rsidR="00ED480E" w:rsidRPr="00ED480E" w:rsidRDefault="00ED480E" w:rsidP="00ED480E">
      <w:pPr>
        <w:ind w:firstLine="709"/>
        <w:jc w:val="both"/>
      </w:pPr>
      <w:r w:rsidRPr="00ED480E">
        <w:t>2) постоянный учет всех факторов риска, влияющих на достижение цели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3) правильный учет факторов риска, их тщательный анализ и разумная политика по управлению ими.</w:t>
      </w:r>
      <w:bookmarkStart w:id="5" w:name="_GoBack"/>
      <w:bookmarkEnd w:id="5"/>
    </w:p>
    <w:sectPr w:rsidR="00ED480E" w:rsidRPr="00ED480E" w:rsidSect="00425A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Вр-444859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3C5F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EE8"/>
    <w:rsid w:val="00060FF0"/>
    <w:rsid w:val="00075BAC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155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88C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772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2A4"/>
    <w:rsid w:val="00506A57"/>
    <w:rsid w:val="00513E4F"/>
    <w:rsid w:val="0052371C"/>
    <w:rsid w:val="00527A5C"/>
    <w:rsid w:val="00531672"/>
    <w:rsid w:val="00562567"/>
    <w:rsid w:val="0056766F"/>
    <w:rsid w:val="0057186F"/>
    <w:rsid w:val="00573C5F"/>
    <w:rsid w:val="00587709"/>
    <w:rsid w:val="005A2327"/>
    <w:rsid w:val="005C06CF"/>
    <w:rsid w:val="005C656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B32"/>
    <w:rsid w:val="00662C99"/>
    <w:rsid w:val="00671F24"/>
    <w:rsid w:val="00676446"/>
    <w:rsid w:val="006850AD"/>
    <w:rsid w:val="00686C95"/>
    <w:rsid w:val="0069521D"/>
    <w:rsid w:val="0069777A"/>
    <w:rsid w:val="006A33E9"/>
    <w:rsid w:val="006A7E41"/>
    <w:rsid w:val="006B18C3"/>
    <w:rsid w:val="006B2DC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1F32"/>
    <w:rsid w:val="007307DD"/>
    <w:rsid w:val="00747464"/>
    <w:rsid w:val="00765B23"/>
    <w:rsid w:val="00772510"/>
    <w:rsid w:val="007841A4"/>
    <w:rsid w:val="007856A4"/>
    <w:rsid w:val="00790B33"/>
    <w:rsid w:val="007A692C"/>
    <w:rsid w:val="007A7C68"/>
    <w:rsid w:val="007B06C8"/>
    <w:rsid w:val="007C5489"/>
    <w:rsid w:val="007C6B6A"/>
    <w:rsid w:val="007C7191"/>
    <w:rsid w:val="007D3C8C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CA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70C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6E70"/>
    <w:rsid w:val="00B5138D"/>
    <w:rsid w:val="00B57A21"/>
    <w:rsid w:val="00B65F0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F0A"/>
    <w:rsid w:val="00D30D37"/>
    <w:rsid w:val="00D425CC"/>
    <w:rsid w:val="00D43709"/>
    <w:rsid w:val="00D47CBD"/>
    <w:rsid w:val="00D5364D"/>
    <w:rsid w:val="00D55976"/>
    <w:rsid w:val="00D5696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480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6E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A7E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A7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A7E41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A7E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A7E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A7E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A7E41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A7E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A7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A7E41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A7E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A7E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A7E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A7E41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29</cp:revision>
  <cp:lastPrinted>2010-08-02T08:59:00Z</cp:lastPrinted>
  <dcterms:created xsi:type="dcterms:W3CDTF">2025-10-09T06:39:00Z</dcterms:created>
  <dcterms:modified xsi:type="dcterms:W3CDTF">2025-10-09T08:47:00Z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